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5C3D8DD7" w:rsidR="00A209D6" w:rsidRPr="00B266B0" w:rsidRDefault="00A209D6" w:rsidP="3D118249">
      <w:pPr>
        <w:pStyle w:val="Header"/>
        <w:tabs>
          <w:tab w:val="right" w:pos="9639"/>
        </w:tabs>
        <w:rPr>
          <w:noProof w:val="0"/>
          <w:sz w:val="24"/>
          <w:szCs w:val="24"/>
        </w:rPr>
      </w:pPr>
      <w:r w:rsidRPr="3D118249">
        <w:rPr>
          <w:noProof w:val="0"/>
          <w:sz w:val="24"/>
          <w:szCs w:val="24"/>
        </w:rPr>
        <w:t>3GPP TSG-RAN WG2 Meeting #</w:t>
      </w:r>
      <w:r w:rsidR="0036459E" w:rsidRPr="3D118249">
        <w:rPr>
          <w:noProof w:val="0"/>
          <w:sz w:val="24"/>
          <w:szCs w:val="24"/>
        </w:rPr>
        <w:t>11</w:t>
      </w:r>
      <w:r w:rsidR="005C7CD5" w:rsidRPr="3D118249">
        <w:rPr>
          <w:noProof w:val="0"/>
          <w:sz w:val="24"/>
          <w:szCs w:val="24"/>
        </w:rPr>
        <w:t>6bis</w:t>
      </w:r>
      <w:r w:rsidR="00244A05" w:rsidRPr="3D118249">
        <w:rPr>
          <w:noProof w:val="0"/>
          <w:sz w:val="24"/>
          <w:szCs w:val="24"/>
        </w:rPr>
        <w:t xml:space="preserve"> Electronic</w:t>
      </w:r>
      <w:r>
        <w:tab/>
      </w:r>
      <w:r w:rsidRPr="3D118249">
        <w:rPr>
          <w:noProof w:val="0"/>
          <w:sz w:val="24"/>
          <w:szCs w:val="24"/>
        </w:rPr>
        <w:t>R2-</w:t>
      </w:r>
      <w:r w:rsidR="009376CD" w:rsidRPr="3D118249">
        <w:rPr>
          <w:noProof w:val="0"/>
          <w:sz w:val="24"/>
          <w:szCs w:val="24"/>
        </w:rPr>
        <w:t>2</w:t>
      </w:r>
      <w:r w:rsidR="005C7CD5" w:rsidRPr="3D118249">
        <w:rPr>
          <w:noProof w:val="0"/>
          <w:sz w:val="24"/>
          <w:szCs w:val="24"/>
        </w:rPr>
        <w:t>2</w:t>
      </w:r>
      <w:r w:rsidR="00C55A12" w:rsidRPr="3D118249">
        <w:rPr>
          <w:noProof w:val="0"/>
          <w:sz w:val="24"/>
          <w:szCs w:val="24"/>
        </w:rPr>
        <w:t>0</w:t>
      </w:r>
      <w:r w:rsidR="3E3C3A6B" w:rsidRPr="3D118249">
        <w:rPr>
          <w:noProof w:val="0"/>
          <w:sz w:val="24"/>
          <w:szCs w:val="24"/>
        </w:rPr>
        <w:t>1</w:t>
      </w:r>
      <w:r w:rsidR="00F050DF">
        <w:rPr>
          <w:noProof w:val="0"/>
          <w:sz w:val="24"/>
          <w:szCs w:val="24"/>
        </w:rPr>
        <w:t>651</w:t>
      </w:r>
    </w:p>
    <w:p w14:paraId="11776FA6" w14:textId="6A59357B"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5C7CD5" w:rsidRPr="005C7CD5">
        <w:rPr>
          <w:rFonts w:eastAsia="SimSun"/>
          <w:bCs/>
          <w:sz w:val="24"/>
          <w:szCs w:val="24"/>
          <w:lang w:eastAsia="zh-CN"/>
        </w:rPr>
        <w:t>17 – 25 January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0709463" w:rsidR="00A209D6" w:rsidRPr="00B266B0" w:rsidRDefault="00A209D6" w:rsidP="47828ED7">
      <w:pPr>
        <w:pStyle w:val="CRCoverPage"/>
        <w:tabs>
          <w:tab w:val="left" w:pos="1985"/>
        </w:tabs>
        <w:rPr>
          <w:rFonts w:cs="Arial"/>
          <w:b/>
          <w:bCs/>
          <w:sz w:val="24"/>
          <w:szCs w:val="24"/>
          <w:lang w:eastAsia="ja-JP"/>
        </w:rPr>
      </w:pPr>
      <w:r w:rsidRPr="47828ED7">
        <w:rPr>
          <w:rFonts w:cs="Arial"/>
          <w:b/>
          <w:bCs/>
          <w:sz w:val="24"/>
          <w:szCs w:val="24"/>
        </w:rPr>
        <w:t>Agenda item:</w:t>
      </w:r>
      <w:r>
        <w:tab/>
      </w:r>
      <w:r w:rsidR="0086249A" w:rsidRPr="47828ED7">
        <w:rPr>
          <w:rFonts w:cs="Arial"/>
          <w:b/>
          <w:bCs/>
          <w:sz w:val="24"/>
          <w:szCs w:val="24"/>
          <w:lang w:eastAsia="ja-JP"/>
        </w:rPr>
        <w:t>8</w:t>
      </w:r>
      <w:r w:rsidRPr="47828ED7">
        <w:rPr>
          <w:rFonts w:cs="Arial"/>
          <w:b/>
          <w:bCs/>
          <w:sz w:val="24"/>
          <w:szCs w:val="24"/>
          <w:lang w:eastAsia="ja-JP"/>
        </w:rPr>
        <w:t>.</w:t>
      </w:r>
      <w:r w:rsidR="0086249A" w:rsidRPr="47828ED7">
        <w:rPr>
          <w:rFonts w:cs="Arial"/>
          <w:b/>
          <w:bCs/>
          <w:sz w:val="24"/>
          <w:szCs w:val="24"/>
          <w:lang w:eastAsia="ja-JP"/>
        </w:rPr>
        <w:t>4.</w:t>
      </w:r>
      <w:r w:rsidR="6A27D9BE" w:rsidRPr="47828ED7">
        <w:rPr>
          <w:rFonts w:cs="Arial"/>
          <w:b/>
          <w:bCs/>
          <w:sz w:val="24"/>
          <w:szCs w:val="24"/>
          <w:lang w:eastAsia="ja-JP"/>
        </w:rPr>
        <w:t>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213E5F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6249A">
        <w:rPr>
          <w:rFonts w:ascii="Arial" w:hAnsi="Arial" w:cs="Arial"/>
          <w:b/>
          <w:bCs/>
          <w:sz w:val="24"/>
        </w:rPr>
        <w:t>IAB CP-UP separation remaining issues</w:t>
      </w:r>
    </w:p>
    <w:p w14:paraId="1F147C23" w14:textId="4E0C9B9E"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86249A" w:rsidRPr="0086249A">
        <w:rPr>
          <w:rFonts w:ascii="Arial" w:hAnsi="Arial" w:cs="Arial"/>
          <w:b/>
          <w:bCs/>
          <w:sz w:val="24"/>
        </w:rPr>
        <w:t>NR_IAB_enh</w:t>
      </w:r>
      <w:proofErr w:type="spellEnd"/>
      <w:r w:rsidR="0086249A" w:rsidRPr="0086249A">
        <w:rPr>
          <w:rFonts w:ascii="Arial" w:hAnsi="Arial" w:cs="Arial"/>
          <w:b/>
          <w:bCs/>
          <w:sz w:val="24"/>
        </w:rPr>
        <w:t xml:space="preserve">-Core </w:t>
      </w:r>
      <w:r>
        <w:rPr>
          <w:rFonts w:ascii="Arial" w:hAnsi="Arial" w:cs="Arial"/>
          <w:b/>
          <w:bCs/>
          <w:sz w:val="24"/>
        </w:rPr>
        <w:t xml:space="preserve">- Release </w:t>
      </w:r>
      <w:r w:rsidR="0086249A">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06BC04E" w14:textId="7ECF0331" w:rsidR="0086249A" w:rsidRDefault="003F38A3" w:rsidP="00A209D6">
      <w:r>
        <w:t>RAN2#116e discussed CP-UP separation for IAB and made the following agreements:</w:t>
      </w:r>
    </w:p>
    <w:tbl>
      <w:tblPr>
        <w:tblStyle w:val="TableGrid"/>
        <w:tblW w:w="0" w:type="auto"/>
        <w:tblLook w:val="04A0" w:firstRow="1" w:lastRow="0" w:firstColumn="1" w:lastColumn="0" w:noHBand="0" w:noVBand="1"/>
      </w:tblPr>
      <w:tblGrid>
        <w:gridCol w:w="9631"/>
      </w:tblGrid>
      <w:tr w:rsidR="003F38A3" w14:paraId="31B34A1B" w14:textId="77777777" w:rsidTr="003F38A3">
        <w:tc>
          <w:tcPr>
            <w:tcW w:w="9631" w:type="dxa"/>
          </w:tcPr>
          <w:p w14:paraId="462EB630" w14:textId="77777777" w:rsidR="003F38A3" w:rsidRPr="00C62786" w:rsidRDefault="003F38A3" w:rsidP="003F38A3">
            <w:pPr>
              <w:pStyle w:val="Agreement"/>
              <w:rPr>
                <w:lang w:val="en-US" w:eastAsia="ko-KR"/>
              </w:rPr>
            </w:pPr>
            <w:r w:rsidRPr="00C62786">
              <w:rPr>
                <w:lang w:val="en-US" w:eastAsia="ko-KR"/>
              </w:rPr>
              <w:t xml:space="preserve">The configuration of F1-C traffic on the indication of the </w:t>
            </w:r>
            <w:proofErr w:type="spellStart"/>
            <w:r w:rsidRPr="00C62786">
              <w:rPr>
                <w:lang w:val="en-US" w:eastAsia="ko-KR"/>
              </w:rPr>
              <w:t>the</w:t>
            </w:r>
            <w:proofErr w:type="spellEnd"/>
            <w:r w:rsidRPr="00C62786">
              <w:rPr>
                <w:lang w:val="en-US" w:eastAsia="ko-KR"/>
              </w:rPr>
              <w:t xml:space="preserve"> leg(s) used for transferring the F1-C traffic is configured to IAB-MT by a new </w:t>
            </w:r>
            <w:proofErr w:type="gramStart"/>
            <w:r w:rsidRPr="00C62786">
              <w:rPr>
                <w:lang w:val="en-US" w:eastAsia="ko-KR"/>
              </w:rPr>
              <w:t>field ,</w:t>
            </w:r>
            <w:proofErr w:type="gramEnd"/>
            <w:r w:rsidRPr="00C62786">
              <w:rPr>
                <w:lang w:val="en-US" w:eastAsia="ko-KR"/>
              </w:rPr>
              <w:t xml:space="preserve"> e.g., </w:t>
            </w:r>
            <w:r w:rsidRPr="00C62786">
              <w:rPr>
                <w:i/>
                <w:iCs/>
                <w:lang w:val="en-US" w:eastAsia="ko-KR"/>
              </w:rPr>
              <w:t>f1c-TransferPath-r17</w:t>
            </w:r>
            <w:r w:rsidRPr="00C62786">
              <w:rPr>
                <w:lang w:val="en-US" w:eastAsia="ko-KR"/>
              </w:rPr>
              <w:t xml:space="preserve">  ENUMERATED {MCG, SCG, both}.</w:t>
            </w:r>
          </w:p>
          <w:p w14:paraId="09103B1D" w14:textId="77777777" w:rsidR="003F38A3" w:rsidRPr="00C62786" w:rsidRDefault="003F38A3" w:rsidP="003F38A3">
            <w:pPr>
              <w:pStyle w:val="Agreement"/>
            </w:pPr>
            <w:r w:rsidRPr="00C62786">
              <w:t xml:space="preserve">As long as the BH RLC CH for F1-C on the indicated Cell Group is configured (the CG is indicated by the field </w:t>
            </w:r>
            <w:r w:rsidRPr="00C62786">
              <w:rPr>
                <w:rFonts w:eastAsia="Malgun Gothic"/>
                <w:i/>
                <w:iCs/>
                <w:lang w:val="en-US" w:eastAsia="ko-KR"/>
              </w:rPr>
              <w:t>f1c-TransferPath-r17</w:t>
            </w:r>
            <w:r w:rsidRPr="00C62786">
              <w:t xml:space="preserve">), IAB node can be aware of whether to use F1-C transferring over BH or F1-C transferring over RRC, </w:t>
            </w:r>
            <w:proofErr w:type="gramStart"/>
            <w:r w:rsidRPr="00C62786">
              <w:t>i.e.</w:t>
            </w:r>
            <w:proofErr w:type="gramEnd"/>
            <w:r w:rsidRPr="00C62786">
              <w:t xml:space="preserve"> F1-C-over-BAP is selected as long as BH RLC CH for F1-C on the indicated CG is configured. </w:t>
            </w:r>
          </w:p>
          <w:p w14:paraId="4EB87BAF" w14:textId="77777777" w:rsidR="003F38A3" w:rsidRPr="00C62786" w:rsidRDefault="003F38A3" w:rsidP="003F38A3">
            <w:pPr>
              <w:pStyle w:val="Agreement"/>
            </w:pPr>
            <w:r w:rsidRPr="00C62786">
              <w:t xml:space="preserve">It is not necessary for IAB-node to be aware whether the gNB allows “F1 over BAP” or only allows “F1-C over RRC” during cell (re)selection, in case the gNB broadcasts </w:t>
            </w:r>
            <w:proofErr w:type="spellStart"/>
            <w:r w:rsidRPr="00C62786">
              <w:rPr>
                <w:i/>
              </w:rPr>
              <w:t>iab</w:t>
            </w:r>
            <w:proofErr w:type="spellEnd"/>
            <w:r w:rsidRPr="00C62786">
              <w:rPr>
                <w:i/>
              </w:rPr>
              <w:t>-Support</w:t>
            </w:r>
            <w:r w:rsidRPr="00C62786">
              <w:t>.</w:t>
            </w:r>
          </w:p>
          <w:p w14:paraId="166DD29A" w14:textId="77777777" w:rsidR="003F38A3" w:rsidRPr="00C62786" w:rsidRDefault="003F38A3" w:rsidP="003F38A3">
            <w:pPr>
              <w:pStyle w:val="Agreement"/>
              <w:rPr>
                <w:lang w:eastAsia="zh-CN"/>
              </w:rPr>
            </w:pPr>
            <w:r w:rsidRPr="00C62786">
              <w:rPr>
                <w:lang w:eastAsia="zh-CN"/>
              </w:rPr>
              <w:t>ONLY SRB2 is used for F1-C transport in CP/UP-separation scenario 1</w:t>
            </w:r>
            <w:r w:rsidRPr="00C62786">
              <w:t>.</w:t>
            </w:r>
          </w:p>
          <w:p w14:paraId="0E351240" w14:textId="77777777" w:rsidR="003F38A3" w:rsidRPr="00C62786" w:rsidRDefault="003F38A3" w:rsidP="003F38A3">
            <w:pPr>
              <w:pStyle w:val="Agreement"/>
            </w:pPr>
            <w:bookmarkStart w:id="0" w:name="_Hlk89436890"/>
            <w:r w:rsidRPr="00C62786">
              <w:rPr>
                <w:lang w:eastAsia="zh-CN"/>
              </w:rPr>
              <w:t xml:space="preserve">ONLY </w:t>
            </w:r>
            <w:r w:rsidRPr="00C62786">
              <w:t>split SRB2</w:t>
            </w:r>
            <w:r w:rsidRPr="00C62786">
              <w:rPr>
                <w:lang w:eastAsia="zh-CN"/>
              </w:rPr>
              <w:t xml:space="preserve"> is used for F1-C transport in CP/UP-separation scenario </w:t>
            </w:r>
            <w:r w:rsidRPr="00C62786">
              <w:t>2</w:t>
            </w:r>
          </w:p>
          <w:bookmarkEnd w:id="0"/>
          <w:p w14:paraId="2509CC7C" w14:textId="77777777" w:rsidR="003F38A3" w:rsidRPr="003F38A3" w:rsidRDefault="003F38A3" w:rsidP="003F38A3">
            <w:pPr>
              <w:pStyle w:val="Agreement"/>
              <w:rPr>
                <w:highlight w:val="yellow"/>
                <w:lang w:eastAsia="ko-KR"/>
              </w:rPr>
            </w:pPr>
            <w:r w:rsidRPr="003F38A3">
              <w:rPr>
                <w:highlight w:val="yellow"/>
              </w:rPr>
              <w:t xml:space="preserve">FFS if </w:t>
            </w:r>
            <w:proofErr w:type="gramStart"/>
            <w:r w:rsidRPr="003F38A3">
              <w:rPr>
                <w:highlight w:val="yellow"/>
                <w:lang w:eastAsia="ko-KR"/>
              </w:rPr>
              <w:t>For</w:t>
            </w:r>
            <w:proofErr w:type="gramEnd"/>
            <w:r w:rsidRPr="003F38A3">
              <w:rPr>
                <w:highlight w:val="yellow"/>
                <w:lang w:eastAsia="ko-KR"/>
              </w:rPr>
              <w:t xml:space="preserve"> IAB-MT’s RRC message that carries F1-C/F1-C related traffic, the IAB-MT use split SRB2 via SCG in scenario 2 if </w:t>
            </w:r>
            <w:r w:rsidRPr="003F38A3">
              <w:rPr>
                <w:i/>
                <w:iCs/>
                <w:highlight w:val="yellow"/>
                <w:lang w:eastAsia="ko-KR"/>
              </w:rPr>
              <w:t>f1c-TransferPath-r17</w:t>
            </w:r>
            <w:r w:rsidRPr="003F38A3">
              <w:rPr>
                <w:highlight w:val="yellow"/>
                <w:lang w:eastAsia="ko-KR"/>
              </w:rPr>
              <w:t xml:space="preserve"> indicates ‘</w:t>
            </w:r>
            <w:r w:rsidRPr="003F38A3">
              <w:rPr>
                <w:i/>
                <w:iCs/>
                <w:highlight w:val="yellow"/>
                <w:lang w:eastAsia="ko-KR"/>
              </w:rPr>
              <w:t>SCG’</w:t>
            </w:r>
            <w:r w:rsidRPr="003F38A3">
              <w:rPr>
                <w:highlight w:val="yellow"/>
                <w:lang w:eastAsia="ko-KR"/>
              </w:rPr>
              <w:t xml:space="preserve"> or ‘</w:t>
            </w:r>
            <w:r w:rsidRPr="003F38A3">
              <w:rPr>
                <w:i/>
                <w:iCs/>
                <w:highlight w:val="yellow"/>
                <w:lang w:eastAsia="ko-KR"/>
              </w:rPr>
              <w:t>both’</w:t>
            </w:r>
            <w:r w:rsidRPr="003F38A3">
              <w:rPr>
                <w:highlight w:val="yellow"/>
                <w:lang w:eastAsia="ko-KR"/>
              </w:rPr>
              <w:t xml:space="preserve"> regardless of the </w:t>
            </w:r>
            <w:proofErr w:type="spellStart"/>
            <w:r w:rsidRPr="003F38A3">
              <w:rPr>
                <w:i/>
                <w:iCs/>
                <w:highlight w:val="yellow"/>
                <w:lang w:eastAsia="ko-KR"/>
              </w:rPr>
              <w:t>primaryPath</w:t>
            </w:r>
            <w:proofErr w:type="spellEnd"/>
            <w:r w:rsidRPr="003F38A3">
              <w:rPr>
                <w:highlight w:val="yellow"/>
                <w:lang w:eastAsia="ko-KR"/>
              </w:rPr>
              <w:t xml:space="preserve"> configuration. FFS on how to capture this in specs.</w:t>
            </w:r>
          </w:p>
          <w:p w14:paraId="0BA77154" w14:textId="4B45C733" w:rsidR="003F38A3" w:rsidRPr="003F38A3" w:rsidRDefault="003F38A3" w:rsidP="00A209D6">
            <w:pPr>
              <w:pStyle w:val="Agreement"/>
              <w:rPr>
                <w:rFonts w:eastAsia="SimSun"/>
                <w:lang w:eastAsia="zh-CN"/>
              </w:rPr>
            </w:pPr>
            <w:r w:rsidRPr="003F38A3">
              <w:rPr>
                <w:highlight w:val="yellow"/>
              </w:rPr>
              <w:t xml:space="preserve">FFS if </w:t>
            </w:r>
            <w:proofErr w:type="gramStart"/>
            <w:r w:rsidRPr="003F38A3">
              <w:rPr>
                <w:highlight w:val="yellow"/>
              </w:rPr>
              <w:t>In</w:t>
            </w:r>
            <w:proofErr w:type="gramEnd"/>
            <w:r w:rsidRPr="003F38A3">
              <w:rPr>
                <w:highlight w:val="yellow"/>
              </w:rPr>
              <w:t xml:space="preserve"> case the split SRB2 RRC message contains both F1-C traffic and other information unrelated to IAB, the IAB-MT follows the configuration of F1-C transfer path (if configured) to transmit this RRC message.</w:t>
            </w:r>
          </w:p>
        </w:tc>
      </w:tr>
    </w:tbl>
    <w:p w14:paraId="66BA6E8D" w14:textId="77777777" w:rsidR="003F38A3" w:rsidRDefault="003F38A3" w:rsidP="00A209D6"/>
    <w:p w14:paraId="2B7CEE49" w14:textId="77777777" w:rsidR="003F38A3" w:rsidRDefault="003F38A3" w:rsidP="00A209D6">
      <w:r>
        <w:t>In this contribution we discuss the remaining open issues and propose a way forward.</w:t>
      </w:r>
    </w:p>
    <w:p w14:paraId="4F547731" w14:textId="45968520" w:rsidR="00A209D6" w:rsidRPr="006E13D1" w:rsidRDefault="00A209D6" w:rsidP="00B7538C">
      <w:pPr>
        <w:pStyle w:val="Heading1"/>
      </w:pPr>
      <w:r w:rsidRPr="006E13D1">
        <w:t>2</w:t>
      </w:r>
      <w:r w:rsidRPr="006E13D1">
        <w:tab/>
      </w:r>
      <w:r w:rsidR="003F38A3">
        <w:t>Discussion</w:t>
      </w:r>
    </w:p>
    <w:p w14:paraId="5F01C058" w14:textId="4E1D3626" w:rsidR="00A209D6" w:rsidRPr="006E13D1" w:rsidRDefault="00B7538C" w:rsidP="00A209D6">
      <w:pPr>
        <w:pStyle w:val="Heading2"/>
      </w:pPr>
      <w:r>
        <w:t>2</w:t>
      </w:r>
      <w:r w:rsidR="00A209D6" w:rsidRPr="006E13D1">
        <w:t>.1</w:t>
      </w:r>
      <w:r w:rsidR="00A209D6" w:rsidRPr="006E13D1">
        <w:tab/>
      </w:r>
      <w:r w:rsidR="0074551F">
        <w:t>CP/UP separation</w:t>
      </w:r>
    </w:p>
    <w:p w14:paraId="4C1FDC1C" w14:textId="673AD0EE" w:rsidR="00B7538C" w:rsidRPr="006E13D1" w:rsidRDefault="00BB1DA0" w:rsidP="0074551F">
      <w:pPr>
        <w:pStyle w:val="TF"/>
      </w:pPr>
      <w:r>
        <w:object w:dxaOrig="10620" w:dyaOrig="6151" w14:anchorId="29EE5A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9pt" o:ole="">
            <v:imagedata r:id="rId12" o:title=""/>
          </v:shape>
          <o:OLEObject Type="Embed" ProgID="Visio.Drawing.15" ShapeID="_x0000_i1025" DrawAspect="Content" ObjectID="_1703503823" r:id="rId13"/>
        </w:object>
      </w:r>
      <w:r w:rsidR="0074551F">
        <w:rPr>
          <w:rFonts w:eastAsia="MS Mincho"/>
          <w:lang w:val="en-US" w:eastAsia="en-GB"/>
        </w:rPr>
        <w:t>Figure 1 CP/UP separation scenario 1 and scenario 2</w:t>
      </w:r>
      <w:r w:rsidR="00B7538C" w:rsidRPr="006E13D1">
        <w:t xml:space="preserve"> </w:t>
      </w:r>
    </w:p>
    <w:p w14:paraId="289725E7" w14:textId="1BC60AEE" w:rsidR="00B7538C" w:rsidRDefault="0074551F" w:rsidP="00A209D6">
      <w:r>
        <w:t xml:space="preserve">It was agreed in the previous RAN2 meeting that </w:t>
      </w:r>
      <w:r w:rsidRPr="0074551F">
        <w:t>split SRB2 is used for F1-C transport in CP/UP-separation scenario 2</w:t>
      </w:r>
      <w:r>
        <w:t xml:space="preserve">. The remaining issue is that in the current spec (38.331) for split SRB the </w:t>
      </w:r>
      <w:proofErr w:type="spellStart"/>
      <w:r w:rsidRPr="00F357FA">
        <w:rPr>
          <w:i/>
          <w:iCs/>
        </w:rPr>
        <w:t>primaryPath</w:t>
      </w:r>
      <w:proofErr w:type="spellEnd"/>
      <w:r>
        <w:t xml:space="preserve"> can only be configured as MCG. This limitation applies to both SRB2 and SRB1.</w:t>
      </w:r>
    </w:p>
    <w:p w14:paraId="5068A17C" w14:textId="77777777" w:rsidR="0024370B" w:rsidRDefault="0024370B" w:rsidP="0024370B">
      <w:pPr>
        <w:pStyle w:val="BodyText"/>
        <w:rPr>
          <w:rFonts w:eastAsia="Times New Roman" w:cs="Arial"/>
        </w:rPr>
      </w:pPr>
      <w:r>
        <w:rPr>
          <w:rFonts w:eastAsia="SimSun"/>
          <w:szCs w:val="20"/>
          <w:lang w:eastAsia="zh-CN"/>
        </w:rPr>
        <w:t xml:space="preserve">If </w:t>
      </w:r>
      <w:r>
        <w:rPr>
          <w:rFonts w:eastAsia="Times New Roman" w:cs="Arial"/>
        </w:rPr>
        <w:t xml:space="preserve">split SRB 2 is configured, a </w:t>
      </w:r>
      <w:proofErr w:type="spellStart"/>
      <w:r>
        <w:rPr>
          <w:i/>
        </w:rPr>
        <w:t>primaryPath</w:t>
      </w:r>
      <w:proofErr w:type="spellEnd"/>
      <w:r>
        <w:rPr>
          <w:i/>
        </w:rPr>
        <w:t xml:space="preserve"> </w:t>
      </w:r>
      <w:r>
        <w:t xml:space="preserve">for F1-C </w:t>
      </w:r>
      <w:r>
        <w:rPr>
          <w:rFonts w:eastAsia="Times New Roman" w:cs="Arial"/>
        </w:rPr>
        <w:t>transmission path should be determined in PDCP, as shown below:</w:t>
      </w:r>
    </w:p>
    <w:tbl>
      <w:tblPr>
        <w:tblStyle w:val="TableGrid"/>
        <w:tblW w:w="0" w:type="auto"/>
        <w:tblLook w:val="04A0" w:firstRow="1" w:lastRow="0" w:firstColumn="1" w:lastColumn="0" w:noHBand="0" w:noVBand="1"/>
      </w:tblPr>
      <w:tblGrid>
        <w:gridCol w:w="9060"/>
      </w:tblGrid>
      <w:tr w:rsidR="0024370B" w14:paraId="6CF41526" w14:textId="77777777" w:rsidTr="00E01482">
        <w:tc>
          <w:tcPr>
            <w:tcW w:w="9060" w:type="dxa"/>
          </w:tcPr>
          <w:p w14:paraId="5907F853" w14:textId="77777777" w:rsidR="0024370B" w:rsidRPr="00DE5341" w:rsidRDefault="0024370B" w:rsidP="00E01482">
            <w:pPr>
              <w:pStyle w:val="PL"/>
            </w:pPr>
            <w:r w:rsidRPr="00DE5341">
              <w:t xml:space="preserve">moreThanOneRLC          </w:t>
            </w:r>
            <w:r w:rsidRPr="00DE5341">
              <w:rPr>
                <w:color w:val="993366"/>
              </w:rPr>
              <w:t>SEQUENCE</w:t>
            </w:r>
            <w:r w:rsidRPr="00DE5341">
              <w:t xml:space="preserve"> {</w:t>
            </w:r>
          </w:p>
          <w:p w14:paraId="21CE5FAC" w14:textId="77777777" w:rsidR="0024370B" w:rsidRPr="00DE5341" w:rsidRDefault="0024370B" w:rsidP="00E01482">
            <w:pPr>
              <w:pStyle w:val="PL"/>
            </w:pPr>
            <w:r w:rsidRPr="00DE5341">
              <w:t xml:space="preserve">        </w:t>
            </w:r>
            <w:r w:rsidRPr="00046B5A">
              <w:rPr>
                <w:highlight w:val="green"/>
              </w:rPr>
              <w:t xml:space="preserve">primaryPath             </w:t>
            </w:r>
            <w:r w:rsidRPr="00046B5A">
              <w:rPr>
                <w:color w:val="993366"/>
                <w:highlight w:val="green"/>
              </w:rPr>
              <w:t>SEQUENCE</w:t>
            </w:r>
            <w:r w:rsidRPr="00046B5A">
              <w:rPr>
                <w:highlight w:val="green"/>
              </w:rPr>
              <w:t xml:space="preserve"> {</w:t>
            </w:r>
          </w:p>
          <w:p w14:paraId="053902F5" w14:textId="77777777" w:rsidR="0024370B" w:rsidRPr="00DE5341" w:rsidRDefault="0024370B" w:rsidP="00E01482">
            <w:pPr>
              <w:pStyle w:val="PL"/>
              <w:rPr>
                <w:color w:val="808080"/>
              </w:rPr>
            </w:pPr>
            <w:r w:rsidRPr="00DE5341">
              <w:t xml:space="preserve">            cellGroup             CellGroupId     </w:t>
            </w:r>
            <w:r>
              <w:t xml:space="preserve">  </w:t>
            </w:r>
            <w:r w:rsidRPr="00DE5341">
              <w:t xml:space="preserve">      </w:t>
            </w:r>
            <w:r w:rsidRPr="00DE5341">
              <w:rPr>
                <w:color w:val="993366"/>
              </w:rPr>
              <w:t>OPTIONAL</w:t>
            </w:r>
            <w:r w:rsidRPr="00DE5341">
              <w:t xml:space="preserve">,   </w:t>
            </w:r>
            <w:r w:rsidRPr="00DE5341">
              <w:rPr>
                <w:color w:val="808080"/>
              </w:rPr>
              <w:t>-- Need R</w:t>
            </w:r>
          </w:p>
          <w:p w14:paraId="773330B1" w14:textId="77777777" w:rsidR="0024370B" w:rsidRPr="00DE5341" w:rsidRDefault="0024370B" w:rsidP="00E01482">
            <w:pPr>
              <w:pStyle w:val="PL"/>
              <w:rPr>
                <w:color w:val="808080"/>
              </w:rPr>
            </w:pPr>
            <w:r w:rsidRPr="00DE5341">
              <w:t xml:space="preserve">            logicalChannel        LogicalChannelIdentity</w:t>
            </w:r>
            <w:r>
              <w:t xml:space="preserve">  </w:t>
            </w:r>
            <w:r w:rsidRPr="00DE5341">
              <w:rPr>
                <w:color w:val="993366"/>
              </w:rPr>
              <w:t>OPTIONAL</w:t>
            </w:r>
            <w:r w:rsidRPr="00DE5341">
              <w:t xml:space="preserve">    </w:t>
            </w:r>
            <w:r w:rsidRPr="00DE5341">
              <w:rPr>
                <w:color w:val="808080"/>
              </w:rPr>
              <w:t>-- Need R</w:t>
            </w:r>
          </w:p>
          <w:p w14:paraId="01DFDF48" w14:textId="77777777" w:rsidR="0024370B" w:rsidRPr="00DE5341" w:rsidRDefault="0024370B" w:rsidP="00E01482">
            <w:pPr>
              <w:pStyle w:val="PL"/>
            </w:pPr>
            <w:r w:rsidRPr="00DE5341">
              <w:t xml:space="preserve">        },</w:t>
            </w:r>
          </w:p>
          <w:p w14:paraId="04856CB4" w14:textId="77777777" w:rsidR="0024370B" w:rsidRPr="00DE5341" w:rsidRDefault="0024370B" w:rsidP="00E01482">
            <w:pPr>
              <w:pStyle w:val="PL"/>
              <w:rPr>
                <w:color w:val="808080"/>
              </w:rPr>
            </w:pPr>
            <w:r w:rsidRPr="00DE5341">
              <w:t xml:space="preserve">        ul-DataSplitThreshold   UL-DataSplitThreshold     </w:t>
            </w:r>
            <w:r w:rsidRPr="00DE5341">
              <w:rPr>
                <w:color w:val="993366"/>
              </w:rPr>
              <w:t>OPTIONAL</w:t>
            </w:r>
            <w:r w:rsidRPr="00DE5341">
              <w:t xml:space="preserve">,   </w:t>
            </w:r>
            <w:r w:rsidRPr="00DE5341">
              <w:rPr>
                <w:color w:val="808080"/>
              </w:rPr>
              <w:t>-- Cond SplitBearer</w:t>
            </w:r>
          </w:p>
          <w:p w14:paraId="0DA7FAEE" w14:textId="77777777" w:rsidR="0024370B" w:rsidRPr="00DE5341" w:rsidRDefault="0024370B" w:rsidP="00E01482">
            <w:pPr>
              <w:pStyle w:val="PL"/>
              <w:rPr>
                <w:color w:val="808080"/>
              </w:rPr>
            </w:pPr>
            <w:r w:rsidRPr="00DE5341">
              <w:t xml:space="preserve">        pdcp-Duplication            </w:t>
            </w:r>
            <w:r w:rsidRPr="00DE5341">
              <w:rPr>
                <w:color w:val="993366"/>
              </w:rPr>
              <w:t>BOOLEAN</w:t>
            </w:r>
            <w:r w:rsidRPr="00DE5341">
              <w:t xml:space="preserve">               </w:t>
            </w:r>
            <w:r w:rsidRPr="00DE5341">
              <w:rPr>
                <w:color w:val="993366"/>
              </w:rPr>
              <w:t>OPTIONAL</w:t>
            </w:r>
            <w:r w:rsidRPr="00DE5341">
              <w:t xml:space="preserve">    </w:t>
            </w:r>
            <w:r w:rsidRPr="00DE5341">
              <w:rPr>
                <w:color w:val="808080"/>
              </w:rPr>
              <w:t>-- Need R</w:t>
            </w:r>
          </w:p>
          <w:p w14:paraId="00523627" w14:textId="77777777" w:rsidR="0024370B" w:rsidRPr="00046B5A" w:rsidRDefault="0024370B" w:rsidP="00E01482">
            <w:pPr>
              <w:pStyle w:val="PL"/>
              <w:rPr>
                <w:color w:val="808080"/>
              </w:rPr>
            </w:pPr>
            <w:r w:rsidRPr="00DE5341">
              <w:t xml:space="preserve">    }                      </w:t>
            </w:r>
            <w:r>
              <w:t xml:space="preserve"> </w:t>
            </w:r>
            <w:r w:rsidRPr="00DE5341">
              <w:t xml:space="preserve">                              </w:t>
            </w:r>
            <w:r w:rsidRPr="00DE5341">
              <w:rPr>
                <w:color w:val="993366"/>
              </w:rPr>
              <w:t>OPTIONAL</w:t>
            </w:r>
            <w:r w:rsidRPr="00DE5341">
              <w:t xml:space="preserve">,   </w:t>
            </w:r>
            <w:r w:rsidRPr="00DE5341">
              <w:rPr>
                <w:color w:val="808080"/>
              </w:rPr>
              <w:t>-- Cond MoreThanOneRLC</w:t>
            </w:r>
          </w:p>
        </w:tc>
      </w:tr>
      <w:tr w:rsidR="0024370B" w14:paraId="029E7B6C" w14:textId="77777777" w:rsidTr="00E01482">
        <w:tc>
          <w:tcPr>
            <w:tcW w:w="9060" w:type="dxa"/>
          </w:tcPr>
          <w:p w14:paraId="6ADC43FC" w14:textId="77777777" w:rsidR="0024370B" w:rsidRPr="00DE5341" w:rsidRDefault="0024370B" w:rsidP="00E01482">
            <w:pPr>
              <w:pStyle w:val="TAL"/>
              <w:rPr>
                <w:b/>
                <w:i/>
                <w:iCs/>
                <w:lang w:eastAsia="en-GB"/>
              </w:rPr>
            </w:pPr>
            <w:proofErr w:type="spellStart"/>
            <w:r w:rsidRPr="00DE5341">
              <w:rPr>
                <w:b/>
                <w:i/>
                <w:iCs/>
                <w:lang w:eastAsia="en-GB"/>
              </w:rPr>
              <w:t>primaryPath</w:t>
            </w:r>
            <w:proofErr w:type="spellEnd"/>
          </w:p>
          <w:p w14:paraId="1F28FDD4" w14:textId="77777777" w:rsidR="0024370B" w:rsidRPr="00DE5341" w:rsidRDefault="0024370B" w:rsidP="00E01482">
            <w:pPr>
              <w:pStyle w:val="PL"/>
            </w:pPr>
            <w:r w:rsidRPr="00DE5341">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w:t>
            </w:r>
            <w:r w:rsidRPr="00AF1FD1">
              <w:rPr>
                <w:iCs/>
                <w:highlight w:val="green"/>
                <w:lang w:eastAsia="en-GB"/>
              </w:rPr>
              <w:t>only cell group ID corresponding to MCG is supported for SRBs.</w:t>
            </w:r>
            <w:r w:rsidRPr="00DE5341">
              <w:rPr>
                <w:iCs/>
                <w:lang w:eastAsia="en-GB"/>
              </w:rPr>
              <w:t xml:space="preserve"> The NW indicates </w:t>
            </w:r>
            <w:r w:rsidRPr="00DE5341">
              <w:rPr>
                <w:i/>
                <w:iCs/>
                <w:lang w:eastAsia="en-GB"/>
              </w:rPr>
              <w:t>cellGroup</w:t>
            </w:r>
            <w:r w:rsidRPr="00DE5341">
              <w:rPr>
                <w:iCs/>
                <w:lang w:eastAsia="en-GB"/>
              </w:rPr>
              <w:t xml:space="preserve"> for split bearers using logical channels in different cell groups. </w:t>
            </w:r>
            <w:r w:rsidRPr="00DE5341">
              <w:rPr>
                <w:bCs/>
                <w:lang w:eastAsia="ko-KR"/>
              </w:rPr>
              <w:t xml:space="preserve">The NW always indicates </w:t>
            </w:r>
            <w:r w:rsidRPr="00DE5341">
              <w:rPr>
                <w:bCs/>
                <w:i/>
                <w:iCs/>
                <w:lang w:eastAsia="ko-KR"/>
              </w:rPr>
              <w:t>logicalChannel</w:t>
            </w:r>
            <w:r w:rsidRPr="00DE5341">
              <w:rPr>
                <w:bCs/>
                <w:lang w:eastAsia="ko-KR"/>
              </w:rPr>
              <w:t xml:space="preserve"> if CA based PDCP duplication is configured in the cell group indicated by </w:t>
            </w:r>
            <w:r w:rsidRPr="00DE5341">
              <w:rPr>
                <w:i/>
                <w:iCs/>
              </w:rPr>
              <w:t xml:space="preserve">cellGroup </w:t>
            </w:r>
            <w:r w:rsidRPr="00DE5341">
              <w:t>of this field</w:t>
            </w:r>
            <w:r w:rsidRPr="00DE5341">
              <w:rPr>
                <w:bCs/>
                <w:lang w:eastAsia="ko-KR"/>
              </w:rPr>
              <w:t>.</w:t>
            </w:r>
          </w:p>
        </w:tc>
      </w:tr>
    </w:tbl>
    <w:p w14:paraId="14F183B4" w14:textId="193A9A75" w:rsidR="0024370B" w:rsidRDefault="0024370B" w:rsidP="0024370B">
      <w:pPr>
        <w:pStyle w:val="BodyText"/>
        <w:rPr>
          <w:rFonts w:eastAsia="Times New Roman" w:cs="Arial"/>
        </w:rPr>
      </w:pPr>
      <w:r w:rsidRPr="00AC3E25">
        <w:rPr>
          <w:rFonts w:eastAsia="Times New Roman" w:cs="Arial"/>
        </w:rPr>
        <w:t xml:space="preserve">If duplication is not activated, by default the </w:t>
      </w:r>
      <w:proofErr w:type="spellStart"/>
      <w:r w:rsidRPr="00AC3E25">
        <w:rPr>
          <w:rFonts w:eastAsia="Times New Roman" w:cs="Arial"/>
          <w:i/>
        </w:rPr>
        <w:t>primaryPath</w:t>
      </w:r>
      <w:proofErr w:type="spellEnd"/>
      <w:r w:rsidRPr="00AC3E25">
        <w:rPr>
          <w:rFonts w:eastAsia="Times New Roman" w:cs="Arial"/>
        </w:rPr>
        <w:t xml:space="preserve"> is </w:t>
      </w:r>
      <w:r w:rsidRPr="00B77354">
        <w:rPr>
          <w:rFonts w:eastAsia="Times New Roman" w:cs="Arial"/>
        </w:rPr>
        <w:t xml:space="preserve">MCG leg. </w:t>
      </w:r>
    </w:p>
    <w:p w14:paraId="5300D75B" w14:textId="4B24A294" w:rsidR="0024370B" w:rsidRDefault="0024370B" w:rsidP="00B7538C">
      <w:r w:rsidRPr="0024370B">
        <w:rPr>
          <w:b/>
          <w:bCs/>
        </w:rPr>
        <w:t>Observation 1</w:t>
      </w:r>
      <w:r>
        <w:t xml:space="preserve">: For split SRBs the </w:t>
      </w:r>
      <w:proofErr w:type="spellStart"/>
      <w:r w:rsidRPr="006A3138">
        <w:rPr>
          <w:i/>
          <w:iCs/>
        </w:rPr>
        <w:t>primaryPath</w:t>
      </w:r>
      <w:proofErr w:type="spellEnd"/>
      <w:r>
        <w:t xml:space="preserve"> is currently always the MCG leg</w:t>
      </w:r>
      <w:r w:rsidR="006A3138">
        <w:t>.</w:t>
      </w:r>
    </w:p>
    <w:p w14:paraId="7D8F97BA" w14:textId="5A26B218" w:rsidR="0024370B" w:rsidRDefault="0024370B" w:rsidP="00B7538C">
      <w:pPr>
        <w:rPr>
          <w:rFonts w:cs="Arial"/>
        </w:rPr>
      </w:pPr>
      <w:r>
        <w:rPr>
          <w:rFonts w:cs="Arial"/>
        </w:rPr>
        <w:t>Thus</w:t>
      </w:r>
      <w:r w:rsidRPr="00AC3E25">
        <w:rPr>
          <w:rFonts w:cs="Arial"/>
        </w:rPr>
        <w:t xml:space="preserve">, in scenario 2, </w:t>
      </w:r>
      <w:r>
        <w:rPr>
          <w:rFonts w:cs="Arial"/>
        </w:rPr>
        <w:t xml:space="preserve">in UL if </w:t>
      </w:r>
      <w:r w:rsidRPr="00AC3E25">
        <w:rPr>
          <w:rFonts w:cs="Arial"/>
        </w:rPr>
        <w:t>IAB</w:t>
      </w:r>
      <w:r>
        <w:rPr>
          <w:rFonts w:cs="Arial"/>
        </w:rPr>
        <w:t>-MT</w:t>
      </w:r>
      <w:r w:rsidRPr="00AC3E25">
        <w:rPr>
          <w:rFonts w:cs="Arial"/>
        </w:rPr>
        <w:t xml:space="preserve"> </w:t>
      </w:r>
      <w:r>
        <w:rPr>
          <w:rFonts w:cs="Arial"/>
        </w:rPr>
        <w:t>is supposed</w:t>
      </w:r>
      <w:r w:rsidRPr="00AC3E25">
        <w:rPr>
          <w:rFonts w:cs="Arial"/>
        </w:rPr>
        <w:t xml:space="preserve"> to use the S</w:t>
      </w:r>
      <w:r>
        <w:rPr>
          <w:rFonts w:cs="Arial"/>
        </w:rPr>
        <w:t xml:space="preserve">CG leg of the </w:t>
      </w:r>
      <w:r w:rsidRPr="00AC3E25">
        <w:rPr>
          <w:rFonts w:cs="Arial"/>
        </w:rPr>
        <w:t>split SRB2 for F1-C transport,</w:t>
      </w:r>
      <w:r w:rsidRPr="00B77354">
        <w:rPr>
          <w:rFonts w:eastAsiaTheme="minorEastAsia"/>
          <w:bCs/>
          <w:lang w:eastAsia="zh-CN"/>
        </w:rPr>
        <w:t xml:space="preserve"> the</w:t>
      </w:r>
      <w:r>
        <w:rPr>
          <w:rFonts w:eastAsiaTheme="minorEastAsia"/>
          <w:bCs/>
          <w:lang w:eastAsia="zh-CN"/>
        </w:rPr>
        <w:t>n it should be possible to configure</w:t>
      </w:r>
      <w:r w:rsidRPr="00B77354">
        <w:rPr>
          <w:rFonts w:eastAsiaTheme="minorEastAsia"/>
          <w:bCs/>
          <w:lang w:eastAsia="zh-CN"/>
        </w:rPr>
        <w:t xml:space="preserve"> the </w:t>
      </w:r>
      <w:proofErr w:type="spellStart"/>
      <w:r w:rsidRPr="00B77354">
        <w:rPr>
          <w:rFonts w:eastAsiaTheme="minorEastAsia"/>
          <w:bCs/>
          <w:i/>
          <w:iCs/>
          <w:lang w:eastAsia="zh-CN"/>
        </w:rPr>
        <w:t>primaryPath</w:t>
      </w:r>
      <w:proofErr w:type="spellEnd"/>
      <w:r w:rsidRPr="00B77354">
        <w:rPr>
          <w:rFonts w:eastAsiaTheme="minorEastAsia"/>
          <w:bCs/>
          <w:lang w:eastAsia="zh-CN"/>
        </w:rPr>
        <w:t xml:space="preserve"> to SCG</w:t>
      </w:r>
      <w:r w:rsidRPr="00B77354">
        <w:rPr>
          <w:rFonts w:cs="Arial"/>
        </w:rPr>
        <w:t xml:space="preserve"> leg</w:t>
      </w:r>
      <w:r>
        <w:rPr>
          <w:rFonts w:cs="Arial"/>
        </w:rPr>
        <w:t>.</w:t>
      </w:r>
      <w:r w:rsidRPr="002E6A3E">
        <w:rPr>
          <w:rFonts w:cs="Arial"/>
        </w:rPr>
        <w:t xml:space="preserve"> </w:t>
      </w:r>
      <w:r>
        <w:rPr>
          <w:rFonts w:cs="Arial"/>
        </w:rPr>
        <w:t>The simplest from specification point of view is to relax the limitation for IAB-MT.</w:t>
      </w:r>
    </w:p>
    <w:p w14:paraId="198B3BCE" w14:textId="62AD7836" w:rsidR="0024370B" w:rsidRDefault="0024370B" w:rsidP="00B7538C">
      <w:pPr>
        <w:rPr>
          <w:rFonts w:cs="Arial"/>
        </w:rPr>
      </w:pPr>
      <w:r w:rsidRPr="0024370B">
        <w:rPr>
          <w:rFonts w:cs="Arial"/>
          <w:b/>
          <w:bCs/>
        </w:rPr>
        <w:t>Proposal 1</w:t>
      </w:r>
      <w:r>
        <w:rPr>
          <w:rFonts w:cs="Arial"/>
        </w:rPr>
        <w:t xml:space="preserve">: </w:t>
      </w:r>
      <w:r w:rsidR="007363CF">
        <w:rPr>
          <w:rFonts w:cs="Arial"/>
        </w:rPr>
        <w:t xml:space="preserve">Allow setting </w:t>
      </w:r>
      <w:proofErr w:type="spellStart"/>
      <w:r w:rsidR="007363CF" w:rsidRPr="006A3138">
        <w:rPr>
          <w:rFonts w:cs="Arial"/>
          <w:i/>
          <w:iCs/>
        </w:rPr>
        <w:t>primaryPath</w:t>
      </w:r>
      <w:proofErr w:type="spellEnd"/>
      <w:r w:rsidR="007363CF">
        <w:rPr>
          <w:rFonts w:cs="Arial"/>
        </w:rPr>
        <w:t xml:space="preserve"> to SCG for split SRB2 for IAB-MT.</w:t>
      </w:r>
    </w:p>
    <w:p w14:paraId="2C5453C6" w14:textId="77777777" w:rsidR="005541F3" w:rsidRDefault="005541F3" w:rsidP="005541F3">
      <w:r>
        <w:t>A typical case when CP/UP separation scenario 2 is beneficial is as follows:</w:t>
      </w:r>
    </w:p>
    <w:p w14:paraId="3A1E9A1D" w14:textId="77777777" w:rsidR="005541F3" w:rsidRDefault="005541F3" w:rsidP="005541F3">
      <w:pPr>
        <w:pStyle w:val="B1"/>
      </w:pPr>
      <w:r>
        <w:t>-</w:t>
      </w:r>
      <w:r>
        <w:tab/>
        <w:t>IAB-donor-DU and IAB-nodes acting as MN for IAB-node 2 use FR2 for access UEs and child IAB-nodes</w:t>
      </w:r>
    </w:p>
    <w:p w14:paraId="430B1371" w14:textId="6C2E0716" w:rsidR="005541F3" w:rsidRDefault="005541F3" w:rsidP="005541F3">
      <w:pPr>
        <w:pStyle w:val="B1"/>
      </w:pPr>
      <w:r>
        <w:t>-</w:t>
      </w:r>
      <w:r>
        <w:tab/>
        <w:t>SN uses FR1 and therefore has better coverage (but may have limited capacity) and IAB-node 2 can connect with a single hop to SN gNB-DU but SN may not be donor-capable</w:t>
      </w:r>
    </w:p>
    <w:p w14:paraId="2906C5DC" w14:textId="0EC496C1" w:rsidR="00CA6219" w:rsidRDefault="005541F3" w:rsidP="005541F3">
      <w:r>
        <w:t xml:space="preserve">The purpose of CP/UP separation is to improve the latency and reliability of the CP messages. RAN2/3 have been discussing the transfer of F1-C messages over the more reliable path and agreed to allow transfer of F1-C over RRC using SRB2 (split SRB2 in case of scenario 2). </w:t>
      </w:r>
      <w:r w:rsidR="00CA6219">
        <w:t>Therefore, for scenario 2 the split SRB2 should be allowed to be sent also via the SN.</w:t>
      </w:r>
    </w:p>
    <w:p w14:paraId="1AF5A5C7" w14:textId="45C0899B" w:rsidR="005541F3" w:rsidRDefault="00CA6219" w:rsidP="005541F3">
      <w:r>
        <w:t xml:space="preserve">The IAB-MT’s own RRC messages which use SRB1, cannot be sent via SN in case of scenario 2 even if split SRB1 is used since the </w:t>
      </w:r>
      <w:proofErr w:type="spellStart"/>
      <w:r w:rsidRPr="00DF6BAC">
        <w:rPr>
          <w:i/>
          <w:iCs/>
        </w:rPr>
        <w:t>primaryPath</w:t>
      </w:r>
      <w:proofErr w:type="spellEnd"/>
      <w:r>
        <w:t xml:space="preserve"> of the split SRB1 cannot be configured as SCG.</w:t>
      </w:r>
    </w:p>
    <w:p w14:paraId="05AB9F44" w14:textId="49E919DC" w:rsidR="005541F3" w:rsidRDefault="005541F3" w:rsidP="005541F3">
      <w:r w:rsidRPr="005541F3">
        <w:rPr>
          <w:b/>
          <w:bCs/>
        </w:rPr>
        <w:t>Observation 2</w:t>
      </w:r>
      <w:r>
        <w:t>: In scenario 2, IAB-MT’s own RRC messages over SRB1 cannot be sent via SN although RAN2/3 is specifying a way to transfer F1-C</w:t>
      </w:r>
      <w:r w:rsidR="00CA6219">
        <w:t xml:space="preserve"> of the same IAB-node</w:t>
      </w:r>
      <w:r>
        <w:t xml:space="preserve"> over SN</w:t>
      </w:r>
      <w:r w:rsidR="00CA6219">
        <w:t>.</w:t>
      </w:r>
    </w:p>
    <w:p w14:paraId="59C2E4AE" w14:textId="10DF6ED8" w:rsidR="00CA6219" w:rsidRDefault="00CA6219" w:rsidP="00B7538C">
      <w:r>
        <w:t xml:space="preserve">The simplest way to allow the transfer of split SRB1 over the SN leg is to relax the </w:t>
      </w:r>
      <w:proofErr w:type="spellStart"/>
      <w:r w:rsidRPr="00DF6BAC">
        <w:rPr>
          <w:i/>
          <w:iCs/>
        </w:rPr>
        <w:t>primaryPath</w:t>
      </w:r>
      <w:proofErr w:type="spellEnd"/>
      <w:r>
        <w:t xml:space="preserve"> limitation also for SRB1.</w:t>
      </w:r>
    </w:p>
    <w:p w14:paraId="205E763A" w14:textId="37545E64" w:rsidR="00CA6219" w:rsidRDefault="00CA6219" w:rsidP="00CA6219">
      <w:pPr>
        <w:rPr>
          <w:rFonts w:cs="Arial"/>
        </w:rPr>
      </w:pPr>
      <w:r w:rsidRPr="0024370B">
        <w:rPr>
          <w:rFonts w:cs="Arial"/>
          <w:b/>
          <w:bCs/>
        </w:rPr>
        <w:t xml:space="preserve">Proposal </w:t>
      </w:r>
      <w:r>
        <w:rPr>
          <w:rFonts w:cs="Arial"/>
          <w:b/>
          <w:bCs/>
        </w:rPr>
        <w:t>2</w:t>
      </w:r>
      <w:r>
        <w:rPr>
          <w:rFonts w:cs="Arial"/>
        </w:rPr>
        <w:t xml:space="preserve">: Allow setting </w:t>
      </w:r>
      <w:proofErr w:type="spellStart"/>
      <w:r w:rsidRPr="00DF6BAC">
        <w:rPr>
          <w:rFonts w:cs="Arial"/>
          <w:i/>
          <w:iCs/>
        </w:rPr>
        <w:t>primaryPath</w:t>
      </w:r>
      <w:proofErr w:type="spellEnd"/>
      <w:r>
        <w:rPr>
          <w:rFonts w:cs="Arial"/>
        </w:rPr>
        <w:t xml:space="preserve"> to SCG also for split SRB1 for IAB-MT </w:t>
      </w:r>
      <w:proofErr w:type="gramStart"/>
      <w:r>
        <w:rPr>
          <w:rFonts w:cs="Arial"/>
        </w:rPr>
        <w:t>in order to</w:t>
      </w:r>
      <w:proofErr w:type="gramEnd"/>
      <w:r>
        <w:rPr>
          <w:rFonts w:cs="Arial"/>
        </w:rPr>
        <w:t xml:space="preserve"> allow IAB-MT’s own RRC messages to be sent via SN.</w:t>
      </w:r>
    </w:p>
    <w:p w14:paraId="3AB5F5CD" w14:textId="654505B8" w:rsidR="00CA6219" w:rsidRDefault="00CA6219" w:rsidP="00CA6219">
      <w:pPr>
        <w:rPr>
          <w:rFonts w:cs="Arial"/>
        </w:rPr>
      </w:pPr>
      <w:r>
        <w:rPr>
          <w:rFonts w:cs="Arial"/>
        </w:rPr>
        <w:t xml:space="preserve">When the </w:t>
      </w:r>
      <w:proofErr w:type="spellStart"/>
      <w:r w:rsidRPr="00DF6BAC">
        <w:rPr>
          <w:rFonts w:cs="Arial"/>
          <w:i/>
          <w:iCs/>
        </w:rPr>
        <w:t>primaryPath</w:t>
      </w:r>
      <w:proofErr w:type="spellEnd"/>
      <w:r>
        <w:rPr>
          <w:rFonts w:cs="Arial"/>
        </w:rPr>
        <w:t xml:space="preserve"> </w:t>
      </w:r>
      <w:r w:rsidR="00DF6BAC">
        <w:rPr>
          <w:rFonts w:cs="Arial"/>
        </w:rPr>
        <w:t>for SRB2 is set to SCG, then all RRC messages using SRB2 use the same path and nothing special is needed i</w:t>
      </w:r>
      <w:r w:rsidR="00DF6BAC" w:rsidRPr="00DF6BAC">
        <w:rPr>
          <w:rFonts w:cs="Arial"/>
        </w:rPr>
        <w:t>n case the split SRB2 RRC message contains both F1-C traffic and other information unrelated to IAB</w:t>
      </w:r>
      <w:r w:rsidR="00DF6BAC">
        <w:rPr>
          <w:rFonts w:cs="Arial"/>
        </w:rPr>
        <w:t>. When the network configures F1-C traffic to use SCG path, also the split SRB2 should be configured to SCG as</w:t>
      </w:r>
      <w:r w:rsidR="00DF6BAC" w:rsidRPr="00DF6BAC">
        <w:rPr>
          <w:rFonts w:cs="Arial"/>
          <w:i/>
          <w:iCs/>
        </w:rPr>
        <w:t xml:space="preserve"> </w:t>
      </w:r>
      <w:proofErr w:type="spellStart"/>
      <w:r w:rsidR="00DF6BAC" w:rsidRPr="00DF6BAC">
        <w:rPr>
          <w:rFonts w:cs="Arial"/>
          <w:i/>
          <w:iCs/>
        </w:rPr>
        <w:t>primaryPath</w:t>
      </w:r>
      <w:proofErr w:type="spellEnd"/>
      <w:r w:rsidR="00DF6BAC">
        <w:rPr>
          <w:rFonts w:cs="Arial"/>
        </w:rPr>
        <w:t>.</w:t>
      </w:r>
    </w:p>
    <w:p w14:paraId="66AC0399" w14:textId="112B1C00" w:rsidR="00CA6219" w:rsidRDefault="00DF6BAC" w:rsidP="00B7538C">
      <w:r>
        <w:t xml:space="preserve">Access UEs dual connected to FR2 IAB-node MN and FR1 SN are in a similar situation as IAB-MT. The access UEs own </w:t>
      </w:r>
      <w:r w:rsidR="006A3138">
        <w:t xml:space="preserve">uplink </w:t>
      </w:r>
      <w:r>
        <w:t xml:space="preserve">RRC </w:t>
      </w:r>
      <w:r w:rsidR="006A3138">
        <w:t>signalling</w:t>
      </w:r>
      <w:r>
        <w:t xml:space="preserve"> goes via MCG leg to IAB-node even if split SRB were configured for the UE allowing the downlink</w:t>
      </w:r>
      <w:r w:rsidR="006A3138">
        <w:t xml:space="preserve"> SRB to be received directly from FR1 SN. RAN2 should discuss whether the </w:t>
      </w:r>
      <w:proofErr w:type="spellStart"/>
      <w:r w:rsidR="006A3138" w:rsidRPr="006A3138">
        <w:rPr>
          <w:i/>
          <w:iCs/>
        </w:rPr>
        <w:t>primaryPath</w:t>
      </w:r>
      <w:proofErr w:type="spellEnd"/>
      <w:r w:rsidR="006A3138">
        <w:t xml:space="preserve"> limitation should be relaxed also for normal UEs.</w:t>
      </w:r>
    </w:p>
    <w:p w14:paraId="3DDDEA0B" w14:textId="1034383E" w:rsidR="006A3138" w:rsidRDefault="006A3138" w:rsidP="00B7538C">
      <w:r w:rsidRPr="006A3138">
        <w:rPr>
          <w:b/>
          <w:bCs/>
        </w:rPr>
        <w:t>Proposal 3</w:t>
      </w:r>
      <w:r>
        <w:t xml:space="preserve">: RAN2 to discuss whether split SRBs for access UEs in scenario 2 should be allowed to be configured with </w:t>
      </w:r>
      <w:proofErr w:type="spellStart"/>
      <w:r w:rsidRPr="006A3138">
        <w:rPr>
          <w:i/>
          <w:iCs/>
        </w:rPr>
        <w:t>primaryPath</w:t>
      </w:r>
      <w:proofErr w:type="spellEnd"/>
      <w:r>
        <w:t xml:space="preserve"> = SCG.</w:t>
      </w:r>
    </w:p>
    <w:p w14:paraId="5FF2457F" w14:textId="2BE4FF52" w:rsidR="00A209D6" w:rsidRPr="006E13D1" w:rsidRDefault="006A3138" w:rsidP="00A209D6">
      <w:pPr>
        <w:pStyle w:val="Heading1"/>
      </w:pPr>
      <w:r>
        <w:t>3</w:t>
      </w:r>
      <w:r w:rsidR="00A209D6" w:rsidRPr="006E13D1">
        <w:tab/>
      </w:r>
      <w:r w:rsidR="008C3057">
        <w:t>Conclusion</w:t>
      </w:r>
    </w:p>
    <w:p w14:paraId="7B7240A4" w14:textId="4E5D0062" w:rsidR="004F73A7" w:rsidRPr="006E13D1" w:rsidRDefault="00BB1DA0" w:rsidP="00A209D6">
      <w:r>
        <w:t>We have</w:t>
      </w:r>
      <w:r w:rsidR="004F73A7">
        <w:t xml:space="preserve"> made</w:t>
      </w:r>
      <w:r w:rsidR="004F4540">
        <w:t xml:space="preserve"> the following observations:</w:t>
      </w:r>
    </w:p>
    <w:p w14:paraId="7E1A6A2F" w14:textId="0595FC3C" w:rsidR="006A3138" w:rsidRDefault="006A3138" w:rsidP="006A3138">
      <w:r w:rsidRPr="0024370B">
        <w:rPr>
          <w:b/>
          <w:bCs/>
        </w:rPr>
        <w:t>Observation 1</w:t>
      </w:r>
      <w:r>
        <w:t xml:space="preserve">: For split SRBs the </w:t>
      </w:r>
      <w:proofErr w:type="spellStart"/>
      <w:r w:rsidRPr="006A3138">
        <w:rPr>
          <w:i/>
          <w:iCs/>
        </w:rPr>
        <w:t>primaryPath</w:t>
      </w:r>
      <w:proofErr w:type="spellEnd"/>
      <w:r>
        <w:t xml:space="preserve"> is currently always the MCG leg.</w:t>
      </w:r>
    </w:p>
    <w:p w14:paraId="117BBD8C" w14:textId="77777777" w:rsidR="006A3138" w:rsidRDefault="006A3138" w:rsidP="006A3138">
      <w:r w:rsidRPr="005541F3">
        <w:rPr>
          <w:b/>
          <w:bCs/>
        </w:rPr>
        <w:t>Observation 2</w:t>
      </w:r>
      <w:r>
        <w:t>: In scenario 2, IAB-MT’s own RRC messages over SRB1 cannot be sent via SN although RAN2/3 is specifying a way to transfer F1-C of the same IAB-node over SN.</w:t>
      </w:r>
    </w:p>
    <w:p w14:paraId="0E3EEB64" w14:textId="77777777" w:rsidR="006A3138" w:rsidRDefault="006A3138" w:rsidP="006A3138">
      <w:pPr>
        <w:rPr>
          <w:rFonts w:cs="Arial"/>
        </w:rPr>
      </w:pPr>
      <w:r w:rsidRPr="0024370B">
        <w:rPr>
          <w:rFonts w:cs="Arial"/>
          <w:b/>
          <w:bCs/>
        </w:rPr>
        <w:t>Proposal 1</w:t>
      </w:r>
      <w:r>
        <w:rPr>
          <w:rFonts w:cs="Arial"/>
        </w:rPr>
        <w:t xml:space="preserve">: Allow setting </w:t>
      </w:r>
      <w:proofErr w:type="spellStart"/>
      <w:r w:rsidRPr="006A3138">
        <w:rPr>
          <w:rFonts w:cs="Arial"/>
          <w:i/>
          <w:iCs/>
        </w:rPr>
        <w:t>primaryPath</w:t>
      </w:r>
      <w:proofErr w:type="spellEnd"/>
      <w:r>
        <w:rPr>
          <w:rFonts w:cs="Arial"/>
        </w:rPr>
        <w:t xml:space="preserve"> to SCG for split SRB2 for IAB-MT.</w:t>
      </w:r>
    </w:p>
    <w:p w14:paraId="096A1761" w14:textId="77777777" w:rsidR="006A3138" w:rsidRDefault="006A3138" w:rsidP="006A3138">
      <w:pPr>
        <w:rPr>
          <w:rFonts w:cs="Arial"/>
        </w:rPr>
      </w:pPr>
      <w:r w:rsidRPr="0024370B">
        <w:rPr>
          <w:rFonts w:cs="Arial"/>
          <w:b/>
          <w:bCs/>
        </w:rPr>
        <w:t xml:space="preserve">Proposal </w:t>
      </w:r>
      <w:r>
        <w:rPr>
          <w:rFonts w:cs="Arial"/>
          <w:b/>
          <w:bCs/>
        </w:rPr>
        <w:t>2</w:t>
      </w:r>
      <w:r>
        <w:rPr>
          <w:rFonts w:cs="Arial"/>
        </w:rPr>
        <w:t xml:space="preserve">: Allow setting </w:t>
      </w:r>
      <w:proofErr w:type="spellStart"/>
      <w:r w:rsidRPr="00DF6BAC">
        <w:rPr>
          <w:rFonts w:cs="Arial"/>
          <w:i/>
          <w:iCs/>
        </w:rPr>
        <w:t>primaryPath</w:t>
      </w:r>
      <w:proofErr w:type="spellEnd"/>
      <w:r>
        <w:rPr>
          <w:rFonts w:cs="Arial"/>
        </w:rPr>
        <w:t xml:space="preserve"> to SCG also for split SRB1 for IAB-MT </w:t>
      </w:r>
      <w:proofErr w:type="gramStart"/>
      <w:r>
        <w:rPr>
          <w:rFonts w:cs="Arial"/>
        </w:rPr>
        <w:t>in order to</w:t>
      </w:r>
      <w:proofErr w:type="gramEnd"/>
      <w:r>
        <w:rPr>
          <w:rFonts w:cs="Arial"/>
        </w:rPr>
        <w:t xml:space="preserve"> allow IAB-MT’s own RRC messages to be sent via SN.</w:t>
      </w:r>
    </w:p>
    <w:p w14:paraId="61A61D58" w14:textId="77777777" w:rsidR="006A3138" w:rsidRDefault="006A3138" w:rsidP="006A3138">
      <w:r w:rsidRPr="006A3138">
        <w:rPr>
          <w:b/>
          <w:bCs/>
        </w:rPr>
        <w:t>Proposal 3</w:t>
      </w:r>
      <w:r>
        <w:t xml:space="preserve">: RAN2 to discuss whether split SRBs for access UEs in scenario 2 should be allowed to be configured with </w:t>
      </w:r>
      <w:proofErr w:type="spellStart"/>
      <w:r w:rsidRPr="006A3138">
        <w:rPr>
          <w:i/>
          <w:iCs/>
        </w:rPr>
        <w:t>primaryPath</w:t>
      </w:r>
      <w:proofErr w:type="spellEnd"/>
      <w:r>
        <w:t xml:space="preserve"> = SCG.</w:t>
      </w:r>
    </w:p>
    <w:p w14:paraId="35F222F4" w14:textId="77777777" w:rsidR="00080512" w:rsidRPr="00A209D6" w:rsidRDefault="00080512" w:rsidP="00A209D6"/>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13113D" w14:textId="77777777" w:rsidR="0086249A" w:rsidRDefault="0086249A">
      <w:r>
        <w:separator/>
      </w:r>
    </w:p>
  </w:endnote>
  <w:endnote w:type="continuationSeparator" w:id="0">
    <w:p w14:paraId="49BC8243" w14:textId="77777777" w:rsidR="0086249A" w:rsidRDefault="0086249A">
      <w:r>
        <w:continuationSeparator/>
      </w:r>
    </w:p>
  </w:endnote>
  <w:endnote w:type="continuationNotice" w:id="1">
    <w:p w14:paraId="64E87706" w14:textId="77777777" w:rsidR="0086249A" w:rsidRDefault="008624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86249A" w:rsidRDefault="008624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86249A" w:rsidRDefault="008624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86249A" w:rsidRDefault="008624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98629C" w14:textId="77777777" w:rsidR="0086249A" w:rsidRDefault="0086249A">
      <w:r>
        <w:separator/>
      </w:r>
    </w:p>
  </w:footnote>
  <w:footnote w:type="continuationSeparator" w:id="0">
    <w:p w14:paraId="3CC73607" w14:textId="77777777" w:rsidR="0086249A" w:rsidRDefault="0086249A">
      <w:r>
        <w:continuationSeparator/>
      </w:r>
    </w:p>
  </w:footnote>
  <w:footnote w:type="continuationNotice" w:id="1">
    <w:p w14:paraId="11043E46" w14:textId="77777777" w:rsidR="0086249A" w:rsidRDefault="008624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86249A" w:rsidRDefault="008624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86249A" w:rsidRDefault="008624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86249A" w:rsidRDefault="008624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3782B"/>
    <w:rsid w:val="00040095"/>
    <w:rsid w:val="00065268"/>
    <w:rsid w:val="00073C9C"/>
    <w:rsid w:val="00080512"/>
    <w:rsid w:val="00090468"/>
    <w:rsid w:val="00094568"/>
    <w:rsid w:val="000B7BCF"/>
    <w:rsid w:val="000C522B"/>
    <w:rsid w:val="000D58AB"/>
    <w:rsid w:val="000D5C4D"/>
    <w:rsid w:val="00112F1A"/>
    <w:rsid w:val="00145075"/>
    <w:rsid w:val="001741A0"/>
    <w:rsid w:val="00175FA0"/>
    <w:rsid w:val="00194CD0"/>
    <w:rsid w:val="001B49C9"/>
    <w:rsid w:val="001C23F4"/>
    <w:rsid w:val="001C4F79"/>
    <w:rsid w:val="001F168B"/>
    <w:rsid w:val="001F7831"/>
    <w:rsid w:val="00204045"/>
    <w:rsid w:val="0020712B"/>
    <w:rsid w:val="0022606D"/>
    <w:rsid w:val="00231728"/>
    <w:rsid w:val="0024370B"/>
    <w:rsid w:val="00244A05"/>
    <w:rsid w:val="00250404"/>
    <w:rsid w:val="002610D8"/>
    <w:rsid w:val="002747EC"/>
    <w:rsid w:val="002855BF"/>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F38A3"/>
    <w:rsid w:val="003F4E28"/>
    <w:rsid w:val="004006E8"/>
    <w:rsid w:val="00401855"/>
    <w:rsid w:val="00465587"/>
    <w:rsid w:val="00477455"/>
    <w:rsid w:val="004A1F7B"/>
    <w:rsid w:val="004B5B2C"/>
    <w:rsid w:val="004C44D2"/>
    <w:rsid w:val="004D3578"/>
    <w:rsid w:val="004D380D"/>
    <w:rsid w:val="004E213A"/>
    <w:rsid w:val="004F4540"/>
    <w:rsid w:val="004F73A7"/>
    <w:rsid w:val="00503171"/>
    <w:rsid w:val="00506C28"/>
    <w:rsid w:val="00534DA0"/>
    <w:rsid w:val="00536F9F"/>
    <w:rsid w:val="00543E6C"/>
    <w:rsid w:val="005541F3"/>
    <w:rsid w:val="00565087"/>
    <w:rsid w:val="0056573F"/>
    <w:rsid w:val="00571279"/>
    <w:rsid w:val="005A49C6"/>
    <w:rsid w:val="005C7CD5"/>
    <w:rsid w:val="00611566"/>
    <w:rsid w:val="0061440E"/>
    <w:rsid w:val="00646D99"/>
    <w:rsid w:val="00656910"/>
    <w:rsid w:val="006574C0"/>
    <w:rsid w:val="00696821"/>
    <w:rsid w:val="006A3138"/>
    <w:rsid w:val="006C66D8"/>
    <w:rsid w:val="006D1E24"/>
    <w:rsid w:val="006D35DE"/>
    <w:rsid w:val="006E1057"/>
    <w:rsid w:val="006E1417"/>
    <w:rsid w:val="006F6A2C"/>
    <w:rsid w:val="007069DC"/>
    <w:rsid w:val="00710201"/>
    <w:rsid w:val="0072073A"/>
    <w:rsid w:val="007342B5"/>
    <w:rsid w:val="00734A5B"/>
    <w:rsid w:val="007363CF"/>
    <w:rsid w:val="00744E76"/>
    <w:rsid w:val="0074551F"/>
    <w:rsid w:val="00757D40"/>
    <w:rsid w:val="007662B5"/>
    <w:rsid w:val="00781F0F"/>
    <w:rsid w:val="0078727C"/>
    <w:rsid w:val="0079049D"/>
    <w:rsid w:val="00793DC5"/>
    <w:rsid w:val="00796823"/>
    <w:rsid w:val="007A2E55"/>
    <w:rsid w:val="007B18D8"/>
    <w:rsid w:val="007C095F"/>
    <w:rsid w:val="007C2DD0"/>
    <w:rsid w:val="007F2E08"/>
    <w:rsid w:val="008028A4"/>
    <w:rsid w:val="00813245"/>
    <w:rsid w:val="00840DE0"/>
    <w:rsid w:val="008607A8"/>
    <w:rsid w:val="0086249A"/>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A3A7A"/>
    <w:rsid w:val="009B07CD"/>
    <w:rsid w:val="009C19E9"/>
    <w:rsid w:val="009D74A6"/>
    <w:rsid w:val="009E0E87"/>
    <w:rsid w:val="00A10F02"/>
    <w:rsid w:val="00A204CA"/>
    <w:rsid w:val="00A209D6"/>
    <w:rsid w:val="00A22738"/>
    <w:rsid w:val="00A36F5F"/>
    <w:rsid w:val="00A430EC"/>
    <w:rsid w:val="00A53724"/>
    <w:rsid w:val="00A54B2B"/>
    <w:rsid w:val="00A82346"/>
    <w:rsid w:val="00A9671C"/>
    <w:rsid w:val="00AA1553"/>
    <w:rsid w:val="00B05380"/>
    <w:rsid w:val="00B05962"/>
    <w:rsid w:val="00B15449"/>
    <w:rsid w:val="00B16C2F"/>
    <w:rsid w:val="00B27303"/>
    <w:rsid w:val="00B47FD1"/>
    <w:rsid w:val="00B516BB"/>
    <w:rsid w:val="00B7538C"/>
    <w:rsid w:val="00B84DB2"/>
    <w:rsid w:val="00BB1DA0"/>
    <w:rsid w:val="00BC3555"/>
    <w:rsid w:val="00C12B51"/>
    <w:rsid w:val="00C24650"/>
    <w:rsid w:val="00C25465"/>
    <w:rsid w:val="00C33079"/>
    <w:rsid w:val="00C55A12"/>
    <w:rsid w:val="00C6553E"/>
    <w:rsid w:val="00C83A13"/>
    <w:rsid w:val="00C86F10"/>
    <w:rsid w:val="00C9068C"/>
    <w:rsid w:val="00C92967"/>
    <w:rsid w:val="00CA3D0C"/>
    <w:rsid w:val="00CA6219"/>
    <w:rsid w:val="00CA654B"/>
    <w:rsid w:val="00CB72B8"/>
    <w:rsid w:val="00CD0BA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6BAC"/>
    <w:rsid w:val="00E46C08"/>
    <w:rsid w:val="00E471CF"/>
    <w:rsid w:val="00E62835"/>
    <w:rsid w:val="00E77645"/>
    <w:rsid w:val="00E83697"/>
    <w:rsid w:val="00E859B6"/>
    <w:rsid w:val="00EA66C9"/>
    <w:rsid w:val="00EC4A25"/>
    <w:rsid w:val="00EF612C"/>
    <w:rsid w:val="00F025A2"/>
    <w:rsid w:val="00F036E9"/>
    <w:rsid w:val="00F050DF"/>
    <w:rsid w:val="00F07388"/>
    <w:rsid w:val="00F2026E"/>
    <w:rsid w:val="00F2210A"/>
    <w:rsid w:val="00F31372"/>
    <w:rsid w:val="00F357FA"/>
    <w:rsid w:val="00F37743"/>
    <w:rsid w:val="00F54A3D"/>
    <w:rsid w:val="00F54CB0"/>
    <w:rsid w:val="00F579CD"/>
    <w:rsid w:val="00F653B8"/>
    <w:rsid w:val="00F71B89"/>
    <w:rsid w:val="00F7353C"/>
    <w:rsid w:val="00F76F8F"/>
    <w:rsid w:val="00F941DF"/>
    <w:rsid w:val="00FA1266"/>
    <w:rsid w:val="00FB36FA"/>
    <w:rsid w:val="00FC1192"/>
    <w:rsid w:val="00FE106D"/>
    <w:rsid w:val="00FE251B"/>
    <w:rsid w:val="3D118249"/>
    <w:rsid w:val="3E3C3A6B"/>
    <w:rsid w:val="47828ED7"/>
    <w:rsid w:val="6A27D9B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Body Text"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39"/>
    <w:qFormat/>
    <w:rsid w:val="003F38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3F38A3"/>
    <w:pPr>
      <w:numPr>
        <w:numId w:val="8"/>
      </w:numPr>
      <w:tabs>
        <w:tab w:val="clear" w:pos="6930"/>
        <w:tab w:val="num" w:pos="1620"/>
      </w:tabs>
      <w:spacing w:before="60" w:after="0"/>
      <w:ind w:left="1620"/>
    </w:pPr>
    <w:rPr>
      <w:rFonts w:ascii="Arial" w:eastAsia="MS Mincho" w:hAnsi="Arial"/>
      <w:b/>
      <w:szCs w:val="24"/>
      <w:lang w:eastAsia="en-GB"/>
    </w:rPr>
  </w:style>
  <w:style w:type="table" w:customStyle="1" w:styleId="TableGrid1">
    <w:name w:val="Table Grid1"/>
    <w:basedOn w:val="TableNormal"/>
    <w:next w:val="TableGrid"/>
    <w:uiPriority w:val="39"/>
    <w:qFormat/>
    <w:rsid w:val="002437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24370B"/>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4370B"/>
    <w:rPr>
      <w:rFonts w:eastAsia="MS Mincho"/>
      <w:szCs w:val="24"/>
      <w:lang w:val="en-US" w:eastAsia="en-US"/>
    </w:rPr>
  </w:style>
  <w:style w:type="character" w:customStyle="1" w:styleId="PLChar">
    <w:name w:val="PL Char"/>
    <w:link w:val="PL"/>
    <w:qFormat/>
    <w:rsid w:val="0024370B"/>
    <w:rPr>
      <w:rFonts w:ascii="Courier New" w:hAnsi="Courier New"/>
      <w:noProof/>
      <w:sz w:val="16"/>
      <w:lang w:eastAsia="en-US"/>
    </w:rPr>
  </w:style>
  <w:style w:type="character" w:customStyle="1" w:styleId="TALCar">
    <w:name w:val="TAL Car"/>
    <w:link w:val="TAL"/>
    <w:qFormat/>
    <w:rsid w:val="0024370B"/>
    <w:rPr>
      <w:rFonts w:ascii="Arial" w:hAnsi="Arial"/>
      <w:sz w:val="18"/>
      <w:lang w:eastAsia="en-US"/>
    </w:rPr>
  </w:style>
  <w:style w:type="character" w:styleId="CommentReference">
    <w:name w:val="annotation reference"/>
    <w:basedOn w:val="DefaultParagraphFont"/>
    <w:rsid w:val="00536F9F"/>
    <w:rPr>
      <w:sz w:val="16"/>
      <w:szCs w:val="16"/>
    </w:rPr>
  </w:style>
  <w:style w:type="paragraph" w:styleId="CommentText">
    <w:name w:val="annotation text"/>
    <w:basedOn w:val="Normal"/>
    <w:link w:val="CommentTextChar"/>
    <w:rsid w:val="00536F9F"/>
  </w:style>
  <w:style w:type="character" w:customStyle="1" w:styleId="CommentTextChar">
    <w:name w:val="Comment Text Char"/>
    <w:basedOn w:val="DefaultParagraphFont"/>
    <w:link w:val="CommentText"/>
    <w:rsid w:val="00536F9F"/>
    <w:rPr>
      <w:lang w:eastAsia="en-US"/>
    </w:rPr>
  </w:style>
  <w:style w:type="paragraph" w:styleId="CommentSubject">
    <w:name w:val="annotation subject"/>
    <w:basedOn w:val="CommentText"/>
    <w:next w:val="CommentText"/>
    <w:link w:val="CommentSubjectChar"/>
    <w:rsid w:val="00536F9F"/>
    <w:rPr>
      <w:b/>
      <w:bCs/>
    </w:rPr>
  </w:style>
  <w:style w:type="character" w:customStyle="1" w:styleId="CommentSubjectChar">
    <w:name w:val="Comment Subject Char"/>
    <w:basedOn w:val="CommentTextChar"/>
    <w:link w:val="CommentSubject"/>
    <w:rsid w:val="00536F9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2644727">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44799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5AIRPNAIUNRU-859666464-10258</_dlc_DocId>
    <_dlc_DocIdUrl xmlns="71c5aaf6-e6ce-465b-b873-5148d2a4c105">
      <Url>https://nokia.sharepoint.com/sites/c5g/e2earch/_layouts/15/DocIdRedir.aspx?ID=5AIRPNAIUNRU-859666464-10258</Url>
      <Description>5AIRPNAIUNRU-859666464-10258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1095</Words>
  <Characters>5558</Characters>
  <Application>Microsoft Office Word</Application>
  <DocSecurity>0</DocSecurity>
  <Lines>46</Lines>
  <Paragraphs>13</Paragraphs>
  <ScaleCrop>false</ScaleCrop>
  <Manager/>
  <Company>Nokia</Company>
  <LinksUpToDate>false</LinksUpToDate>
  <CharactersWithSpaces>6640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2022-01-12T13:40:00Z</dcterms:created>
  <dcterms:modified xsi:type="dcterms:W3CDTF">2022-01-12T13:40:00Z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878f2ae0-84bd-43ea-9fe1-9211d165a878</vt:lpwstr>
  </property>
</Properties>
</file>